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C4635" w14:textId="40387408" w:rsidR="00184D5F" w:rsidRPr="009D7A6F" w:rsidRDefault="009D7A6F" w:rsidP="009D7A6F">
      <w:pPr>
        <w:spacing w:line="259" w:lineRule="auto"/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</w:pPr>
      <w:r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 xml:space="preserve">Annex 5.6. </w:t>
      </w:r>
      <w:r w:rsidR="00184D5F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>Single Tender Procedure</w:t>
      </w:r>
      <w:r w:rsidR="00C8134E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>:</w:t>
      </w:r>
      <w:r w:rsidR="00184D5F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 xml:space="preserve"> Step-by-</w:t>
      </w:r>
      <w:r w:rsidR="00C8134E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>s</w:t>
      </w:r>
      <w:r w:rsidR="00184D5F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 xml:space="preserve">tep </w:t>
      </w:r>
      <w:r w:rsidR="00C8134E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>c</w:t>
      </w:r>
      <w:r w:rsidR="00184D5F" w:rsidRPr="009D7A6F">
        <w:rPr>
          <w:rFonts w:ascii="Calibri" w:eastAsia="Calibri" w:hAnsi="Calibri" w:cs="Times New Roman"/>
          <w:b/>
          <w:noProof w:val="0"/>
          <w:kern w:val="0"/>
          <w:sz w:val="28"/>
          <w:szCs w:val="28"/>
          <w:lang w:val="en-US"/>
          <w14:ligatures w14:val="none"/>
        </w:rPr>
        <w:t>hecklist</w:t>
      </w:r>
    </w:p>
    <w:p w14:paraId="76AE2EC0" w14:textId="1548072B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Step 1 - Procurement Planning</w:t>
      </w:r>
    </w:p>
    <w:p w14:paraId="1344713E" w14:textId="4637EA6E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Prepare Procurement Plan (PP)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1.8</w:t>
      </w:r>
    </w:p>
    <w:p w14:paraId="22FC16A7" w14:textId="52918789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Ensure consistency with Description of Action (Annex I) and Grant Budget (Annex III)</w:t>
      </w:r>
    </w:p>
    <w:p w14:paraId="43B903CE" w14:textId="77777777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Submit PP to JTS (for consultation) and to CFCU (for approval) within the first month of implementation</w:t>
      </w:r>
    </w:p>
    <w:p w14:paraId="79D57A5E" w14:textId="0538D7F6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If needed, implement JTS/CFCU comments </w:t>
      </w:r>
    </w:p>
    <w:p w14:paraId="0DC45F23" w14:textId="41B69900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Step 2 - Market Research</w:t>
      </w:r>
    </w:p>
    <w:p w14:paraId="41828646" w14:textId="77777777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Conduct market research / market assessment (min. 3 references)</w:t>
      </w:r>
    </w:p>
    <w:p w14:paraId="47660CFC" w14:textId="4C73C3AA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Prepare market research table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5.1 (Market research for supply contract – example)</w:t>
      </w:r>
    </w:p>
    <w:p w14:paraId="310D0C6B" w14:textId="25312AC1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Prepare Market Research and Justification for Tender Invitation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5.2 </w:t>
      </w:r>
    </w:p>
    <w:p w14:paraId="5CA23BC9" w14:textId="608C2285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Attach copies of pro-forma offers / online price references / </w:t>
      </w:r>
      <w:r w:rsidR="003D4998" w:rsidRPr="009D7A6F">
        <w:rPr>
          <w:rFonts w:ascii="Calibri" w:hAnsi="Calibri" w:cs="Calibri"/>
          <w:color w:val="000000" w:themeColor="text1"/>
        </w:rPr>
        <w:t xml:space="preserve">supporting </w:t>
      </w:r>
      <w:r w:rsidRPr="009D7A6F">
        <w:rPr>
          <w:rFonts w:ascii="Calibri" w:hAnsi="Calibri" w:cs="Calibri"/>
          <w:color w:val="000000" w:themeColor="text1"/>
        </w:rPr>
        <w:t>documentation</w:t>
      </w:r>
    </w:p>
    <w:p w14:paraId="56DC82D5" w14:textId="0B9B384C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Step 3 - Tender Preparation</w:t>
      </w:r>
    </w:p>
    <w:p w14:paraId="64940609" w14:textId="2837FED8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Ensure all preparatory team members sign Declaration of Objectivity and Confidentiality – Annex 5.</w:t>
      </w:r>
      <w:r w:rsidR="00A21DCD" w:rsidRPr="009D7A6F">
        <w:rPr>
          <w:rFonts w:ascii="Calibri" w:hAnsi="Calibri" w:cs="Calibri"/>
          <w:color w:val="000000" w:themeColor="text1"/>
        </w:rPr>
        <w:t>1</w:t>
      </w:r>
      <w:r w:rsidRPr="009D7A6F">
        <w:rPr>
          <w:rFonts w:ascii="Calibri" w:hAnsi="Calibri" w:cs="Calibri"/>
          <w:color w:val="000000" w:themeColor="text1"/>
        </w:rPr>
        <w:t xml:space="preserve"> (0</w:t>
      </w:r>
      <w:r w:rsidR="00A21DCD" w:rsidRPr="009D7A6F">
        <w:rPr>
          <w:rFonts w:ascii="Calibri" w:hAnsi="Calibri" w:cs="Calibri"/>
          <w:color w:val="000000" w:themeColor="text1"/>
        </w:rPr>
        <w:t>5</w:t>
      </w:r>
      <w:r w:rsidRPr="009D7A6F">
        <w:rPr>
          <w:rFonts w:ascii="Calibri" w:hAnsi="Calibri" w:cs="Calibri"/>
          <w:color w:val="000000" w:themeColor="text1"/>
        </w:rPr>
        <w:t>)</w:t>
      </w:r>
    </w:p>
    <w:p w14:paraId="1DB86D40" w14:textId="41FD98CB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Draft Single Tender Dossier – Annex 5.2, including:</w:t>
      </w:r>
    </w:p>
    <w:p w14:paraId="4743EBE5" w14:textId="75A363DD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Part A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Information for Tenderers </w:t>
      </w:r>
    </w:p>
    <w:p w14:paraId="13BD7A26" w14:textId="7867AB57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Part B </w:t>
      </w:r>
      <w:r w:rsidR="00C8134E" w:rsidRPr="009D7A6F">
        <w:rPr>
          <w:rFonts w:ascii="Calibri" w:hAnsi="Calibri" w:cs="Calibri"/>
          <w:color w:val="000000" w:themeColor="text1"/>
        </w:rPr>
        <w:t xml:space="preserve">- </w:t>
      </w:r>
      <w:r w:rsidRPr="009D7A6F">
        <w:rPr>
          <w:rFonts w:ascii="Calibri" w:hAnsi="Calibri" w:cs="Calibri"/>
          <w:color w:val="000000" w:themeColor="text1"/>
        </w:rPr>
        <w:t>Technical Offer Template</w:t>
      </w:r>
    </w:p>
    <w:p w14:paraId="16362456" w14:textId="78DA9C19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Part C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Financial Offer Template (for services only)</w:t>
      </w:r>
    </w:p>
    <w:p w14:paraId="361CC2C5" w14:textId="415548A6" w:rsidR="00184D5F" w:rsidRPr="009D7A6F" w:rsidRDefault="00184D5F" w:rsidP="00B86704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Consult JTS before launching the procedure</w:t>
      </w:r>
    </w:p>
    <w:p w14:paraId="0868DD01" w14:textId="7108911D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Step 4 - Tender Launch</w:t>
      </w:r>
    </w:p>
    <w:p w14:paraId="4274E248" w14:textId="00A9DCC9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</w:t>
      </w:r>
      <w:r w:rsidR="00B86704" w:rsidRPr="009D7A6F">
        <w:rPr>
          <w:rFonts w:ascii="Calibri" w:hAnsi="Calibri" w:cs="Calibri"/>
          <w:color w:val="000000" w:themeColor="text1"/>
        </w:rPr>
        <w:t>Based on market assessment, s</w:t>
      </w:r>
      <w:r w:rsidRPr="009D7A6F">
        <w:rPr>
          <w:rFonts w:ascii="Calibri" w:hAnsi="Calibri" w:cs="Calibri"/>
          <w:color w:val="000000" w:themeColor="text1"/>
        </w:rPr>
        <w:t>end Invitation Letter + Tender Dossier by email/post (keep proof of sending)</w:t>
      </w:r>
    </w:p>
    <w:p w14:paraId="1919C45E" w14:textId="77777777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Provide clarifications equally to all tenderers (in writing, record kept)</w:t>
      </w:r>
    </w:p>
    <w:p w14:paraId="0C8F0652" w14:textId="2C94BB17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Appoint Evaluation Committee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Decision on appointment </w:t>
      </w:r>
      <w:r w:rsidR="00A21DCD" w:rsidRPr="009D7A6F">
        <w:rPr>
          <w:rFonts w:ascii="Calibri" w:hAnsi="Calibri" w:cs="Calibri"/>
          <w:color w:val="000000" w:themeColor="text1"/>
        </w:rPr>
        <w:t>of Evaluation Committee</w:t>
      </w:r>
      <w:r w:rsidRPr="009D7A6F">
        <w:rPr>
          <w:rFonts w:ascii="Calibri" w:hAnsi="Calibri" w:cs="Calibri"/>
          <w:color w:val="000000" w:themeColor="text1"/>
        </w:rPr>
        <w:t>– Annex 5.3 (05)</w:t>
      </w:r>
    </w:p>
    <w:p w14:paraId="65F225CB" w14:textId="77777777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Collect signed Declarations of Impartiality and Confidentiality – Annex 5.3 (06)</w:t>
      </w:r>
    </w:p>
    <w:p w14:paraId="15A0CAD2" w14:textId="7F1438B2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Step 5 - </w:t>
      </w:r>
      <w:r w:rsidR="00124D8A"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Tender Evaluation</w:t>
      </w:r>
    </w:p>
    <w:p w14:paraId="5491873F" w14:textId="0549E4EB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Register received tenders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Register of Tenders </w:t>
      </w:r>
      <w:r w:rsidR="00A21DCD" w:rsidRPr="009D7A6F">
        <w:rPr>
          <w:rFonts w:ascii="Calibri" w:hAnsi="Calibri" w:cs="Calibri"/>
          <w:color w:val="000000" w:themeColor="text1"/>
        </w:rPr>
        <w:t>received</w:t>
      </w:r>
      <w:r w:rsidR="00C8134E" w:rsidRPr="009D7A6F">
        <w:rPr>
          <w:rFonts w:ascii="Calibri" w:hAnsi="Calibri" w:cs="Calibri"/>
          <w:color w:val="000000" w:themeColor="text1"/>
        </w:rPr>
        <w:t xml:space="preserve"> -</w:t>
      </w:r>
      <w:r w:rsidRPr="009D7A6F">
        <w:rPr>
          <w:rFonts w:ascii="Calibri" w:hAnsi="Calibri" w:cs="Calibri"/>
          <w:color w:val="000000" w:themeColor="text1"/>
        </w:rPr>
        <w:t xml:space="preserve"> Annex 5.3 (07)</w:t>
      </w:r>
    </w:p>
    <w:p w14:paraId="6DFE5520" w14:textId="678FA92D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Issue Acknowledgement of Receipt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5.3 (08)</w:t>
      </w:r>
    </w:p>
    <w:p w14:paraId="1D62DECA" w14:textId="77777777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Conduct Tender Opening Session using:</w:t>
      </w:r>
    </w:p>
    <w:p w14:paraId="7509B69C" w14:textId="5349C9F7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Opening Checklist &amp; Opening Report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5.3</w:t>
      </w:r>
    </w:p>
    <w:p w14:paraId="10AF669A" w14:textId="77777777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Ensure all envelopes opened simultaneously, sealed and </w:t>
      </w:r>
      <w:proofErr w:type="spellStart"/>
      <w:r w:rsidRPr="009D7A6F">
        <w:rPr>
          <w:rFonts w:ascii="Calibri" w:hAnsi="Calibri" w:cs="Calibri"/>
          <w:color w:val="000000" w:themeColor="text1"/>
        </w:rPr>
        <w:t>initialled</w:t>
      </w:r>
      <w:proofErr w:type="spellEnd"/>
    </w:p>
    <w:p w14:paraId="33FFD306" w14:textId="77777777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For services: keep financial offer sealed</w:t>
      </w:r>
    </w:p>
    <w:p w14:paraId="784F660B" w14:textId="77777777" w:rsidR="00184D5F" w:rsidRPr="009D7A6F" w:rsidRDefault="00184D5F" w:rsidP="00A21DCD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Calibri" w:hAnsi="Calibri" w:cs="Calibri"/>
          <w:color w:val="000000" w:themeColor="text1"/>
        </w:rPr>
        <w:lastRenderedPageBreak/>
        <w:t> </w:t>
      </w: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For supplies/works: announce financial offers</w:t>
      </w:r>
    </w:p>
    <w:p w14:paraId="4762C04C" w14:textId="3BFF6312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Use Administrative Compliance Grid (from Tender Dossier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Part A)</w:t>
      </w:r>
    </w:p>
    <w:p w14:paraId="3277F3EF" w14:textId="75A7E176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Verify signed declarations</w:t>
      </w:r>
      <w:r w:rsidR="00124D8A" w:rsidRPr="009D7A6F">
        <w:rPr>
          <w:rFonts w:ascii="Calibri" w:hAnsi="Calibri" w:cs="Calibri"/>
          <w:color w:val="000000" w:themeColor="text1"/>
        </w:rPr>
        <w:t xml:space="preserve"> and completeness of tender submission forms</w:t>
      </w:r>
      <w:r w:rsidRPr="009D7A6F">
        <w:rPr>
          <w:rFonts w:ascii="Calibri" w:hAnsi="Calibri" w:cs="Calibri"/>
          <w:color w:val="000000" w:themeColor="text1"/>
        </w:rPr>
        <w:t>, supporting documents</w:t>
      </w:r>
    </w:p>
    <w:p w14:paraId="3ED5E6E0" w14:textId="3FAF99BE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</w:t>
      </w:r>
      <w:r w:rsidR="00B86704" w:rsidRPr="009D7A6F">
        <w:rPr>
          <w:rFonts w:ascii="Calibri" w:hAnsi="Calibri" w:cs="Calibri"/>
          <w:color w:val="000000" w:themeColor="text1"/>
        </w:rPr>
        <w:t xml:space="preserve">Evaluate the tenders using </w:t>
      </w:r>
      <w:r w:rsidRPr="009D7A6F">
        <w:rPr>
          <w:rFonts w:ascii="Calibri" w:hAnsi="Calibri" w:cs="Calibri"/>
          <w:color w:val="000000" w:themeColor="text1"/>
        </w:rPr>
        <w:t xml:space="preserve">Evaluation Grid (from Tender Dossier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Part A)</w:t>
      </w:r>
    </w:p>
    <w:p w14:paraId="2F06EB0E" w14:textId="1DE37DE2" w:rsidR="00184D5F" w:rsidRPr="009D7A6F" w:rsidRDefault="00184D5F" w:rsidP="00124D8A">
      <w:pPr>
        <w:pStyle w:val="ListBullet"/>
        <w:numPr>
          <w:ilvl w:val="0"/>
          <w:numId w:val="0"/>
        </w:numPr>
        <w:ind w:left="72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For services: evaluate </w:t>
      </w:r>
      <w:proofErr w:type="spellStart"/>
      <w:r w:rsidRPr="009D7A6F">
        <w:rPr>
          <w:rFonts w:ascii="Calibri" w:hAnsi="Calibri" w:cs="Calibri"/>
          <w:color w:val="000000" w:themeColor="text1"/>
        </w:rPr>
        <w:t>Organisation</w:t>
      </w:r>
      <w:proofErr w:type="spellEnd"/>
      <w:r w:rsidRPr="009D7A6F">
        <w:rPr>
          <w:rFonts w:ascii="Calibri" w:hAnsi="Calibri" w:cs="Calibri"/>
          <w:color w:val="000000" w:themeColor="text1"/>
        </w:rPr>
        <w:t xml:space="preserve"> &amp; Methodology, Inputs, Time</w:t>
      </w:r>
      <w:r w:rsidR="00124D8A" w:rsidRPr="009D7A6F">
        <w:rPr>
          <w:rFonts w:ascii="Calibri" w:hAnsi="Calibri" w:cs="Calibri"/>
          <w:color w:val="000000" w:themeColor="text1"/>
        </w:rPr>
        <w:t xml:space="preserve"> </w:t>
      </w:r>
      <w:r w:rsidRPr="009D7A6F">
        <w:rPr>
          <w:rFonts w:ascii="Calibri" w:hAnsi="Calibri" w:cs="Calibri"/>
          <w:color w:val="000000" w:themeColor="text1"/>
        </w:rPr>
        <w:t xml:space="preserve">frame </w:t>
      </w:r>
    </w:p>
    <w:p w14:paraId="37743D19" w14:textId="77777777" w:rsidR="00184D5F" w:rsidRPr="009D7A6F" w:rsidRDefault="00184D5F" w:rsidP="00124D8A">
      <w:pPr>
        <w:pStyle w:val="ListBullet"/>
        <w:numPr>
          <w:ilvl w:val="0"/>
          <w:numId w:val="0"/>
        </w:numPr>
        <w:ind w:left="360" w:firstLine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For supplies/works: evaluate YES/NO technical compliance</w:t>
      </w:r>
    </w:p>
    <w:p w14:paraId="0158A6BA" w14:textId="77777777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Verify supporting evidence (CVs, certificates, etc.)</w:t>
      </w:r>
    </w:p>
    <w:p w14:paraId="4100DB5A" w14:textId="77777777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Check arithmetic accuracy (record in Evaluation Report)</w:t>
      </w:r>
    </w:p>
    <w:p w14:paraId="58EBE4DC" w14:textId="4BBED03E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For services: apply 80/20 quality-price ratio (Annex 5.3</w:t>
      </w:r>
      <w:r w:rsidR="00C8134E" w:rsidRPr="009D7A6F">
        <w:rPr>
          <w:rFonts w:ascii="Calibri" w:hAnsi="Calibri" w:cs="Calibri"/>
          <w:color w:val="000000" w:themeColor="text1"/>
        </w:rPr>
        <w:t>)</w:t>
      </w:r>
    </w:p>
    <w:p w14:paraId="6CB7B711" w14:textId="77777777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For supplies/works: compare compliant offers per lot</w:t>
      </w:r>
    </w:p>
    <w:p w14:paraId="5EF6FDA3" w14:textId="1B8CDF33" w:rsidR="00184D5F" w:rsidRPr="009D7A6F" w:rsidRDefault="00184D5F" w:rsidP="00124D8A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Complete Evaluation Report</w:t>
      </w:r>
      <w:r w:rsidR="00124D8A" w:rsidRPr="009D7A6F">
        <w:rPr>
          <w:rFonts w:ascii="Calibri" w:hAnsi="Calibri" w:cs="Calibri"/>
          <w:color w:val="000000" w:themeColor="text1"/>
        </w:rPr>
        <w:t xml:space="preserve"> (each page </w:t>
      </w:r>
      <w:proofErr w:type="spellStart"/>
      <w:r w:rsidR="00124D8A" w:rsidRPr="009D7A6F">
        <w:rPr>
          <w:rFonts w:ascii="Calibri" w:hAnsi="Calibri" w:cs="Calibri"/>
          <w:color w:val="000000" w:themeColor="text1"/>
        </w:rPr>
        <w:t>initialled</w:t>
      </w:r>
      <w:proofErr w:type="spellEnd"/>
      <w:r w:rsidR="00124D8A" w:rsidRPr="009D7A6F">
        <w:rPr>
          <w:rFonts w:ascii="Calibri" w:hAnsi="Calibri" w:cs="Calibri"/>
          <w:color w:val="000000" w:themeColor="text1"/>
        </w:rPr>
        <w:t xml:space="preserve">, last page signed by all </w:t>
      </w:r>
      <w:proofErr w:type="spellStart"/>
      <w:r w:rsidR="00124D8A" w:rsidRPr="009D7A6F">
        <w:rPr>
          <w:rFonts w:ascii="Calibri" w:hAnsi="Calibri" w:cs="Calibri"/>
          <w:color w:val="000000" w:themeColor="text1"/>
        </w:rPr>
        <w:t>EvC</w:t>
      </w:r>
      <w:proofErr w:type="spellEnd"/>
      <w:r w:rsidR="00124D8A" w:rsidRPr="009D7A6F">
        <w:rPr>
          <w:rFonts w:ascii="Calibri" w:hAnsi="Calibri" w:cs="Calibri"/>
          <w:color w:val="000000" w:themeColor="text1"/>
        </w:rPr>
        <w:t xml:space="preserve"> members) and </w:t>
      </w:r>
      <w:r w:rsidRPr="009D7A6F">
        <w:rPr>
          <w:rFonts w:ascii="Calibri" w:hAnsi="Calibri" w:cs="Calibri"/>
          <w:color w:val="000000" w:themeColor="text1"/>
        </w:rPr>
        <w:t>Negotiation Report – Annex 5.3</w:t>
      </w:r>
    </w:p>
    <w:p w14:paraId="2CDC0F1F" w14:textId="020859CD" w:rsidR="00184D5F" w:rsidRPr="009D7A6F" w:rsidRDefault="00184D5F" w:rsidP="00C8134E">
      <w:pPr>
        <w:pStyle w:val="ListBullet"/>
        <w:numPr>
          <w:ilvl w:val="0"/>
          <w:numId w:val="0"/>
        </w:numPr>
        <w:ind w:left="360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Attach administrative and technical grids, scoring sheets, clarifications</w:t>
      </w:r>
    </w:p>
    <w:p w14:paraId="113CD807" w14:textId="3FD299A8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Step </w:t>
      </w:r>
      <w:r w:rsidR="00124D8A"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6</w:t>
      </w: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- Contract Award</w:t>
      </w:r>
    </w:p>
    <w:p w14:paraId="66384E1F" w14:textId="77777777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Prepare Contract Dossier: Contract Agreement (Annex 5.2), Technical &amp; Financial Offers, LEF/FIF if applicable</w:t>
      </w:r>
    </w:p>
    <w:p w14:paraId="1919E357" w14:textId="36C07A3D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Send Contract Award Notification Letter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5.3 (“09 Contract award Notification letter”)</w:t>
      </w:r>
    </w:p>
    <w:p w14:paraId="11333F8C" w14:textId="53547D25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Send Unsuccessful Tenderer Notification Letters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5.3 (folder “Unsuccessful tenderers”)</w:t>
      </w:r>
    </w:p>
    <w:p w14:paraId="7619A783" w14:textId="3DB3C2B3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Prepare Cancellation Notice</w:t>
      </w:r>
      <w:r w:rsidR="00C8134E" w:rsidRPr="009D7A6F">
        <w:rPr>
          <w:rFonts w:ascii="Calibri" w:hAnsi="Calibri" w:cs="Calibri"/>
          <w:color w:val="000000" w:themeColor="text1"/>
        </w:rPr>
        <w:t>,</w:t>
      </w:r>
      <w:r w:rsidRPr="009D7A6F">
        <w:rPr>
          <w:rFonts w:ascii="Calibri" w:hAnsi="Calibri" w:cs="Calibri"/>
          <w:color w:val="000000" w:themeColor="text1"/>
        </w:rPr>
        <w:t xml:space="preserve"> if applicable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5.3</w:t>
      </w:r>
    </w:p>
    <w:p w14:paraId="513C3BA2" w14:textId="6E153160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Publish Contract Award Notice (within 7 days after signature)</w:t>
      </w:r>
    </w:p>
    <w:p w14:paraId="0EC89709" w14:textId="5D119616" w:rsidR="00184D5F" w:rsidRPr="009D7A6F" w:rsidRDefault="00184D5F" w:rsidP="00184D5F">
      <w:pPr>
        <w:pStyle w:val="Heading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Step </w:t>
      </w:r>
      <w:r w:rsidR="00124D8A"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>7</w:t>
      </w:r>
      <w:r w:rsidRPr="009D7A6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- Contract Implementation</w:t>
      </w:r>
    </w:p>
    <w:p w14:paraId="4056FE4D" w14:textId="77777777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Monitor contract implementation and correspondence</w:t>
      </w:r>
    </w:p>
    <w:p w14:paraId="64669521" w14:textId="3F2A0A9A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Request </w:t>
      </w:r>
      <w:r w:rsidR="00811BF5" w:rsidRPr="009D7A6F">
        <w:rPr>
          <w:rFonts w:ascii="Calibri" w:hAnsi="Calibri" w:cs="Calibri"/>
          <w:color w:val="000000" w:themeColor="text1"/>
        </w:rPr>
        <w:t>c</w:t>
      </w:r>
      <w:r w:rsidRPr="009D7A6F">
        <w:rPr>
          <w:rFonts w:ascii="Calibri" w:hAnsi="Calibri" w:cs="Calibri"/>
          <w:color w:val="000000" w:themeColor="text1"/>
        </w:rPr>
        <w:t xml:space="preserve">ontractor’s </w:t>
      </w:r>
      <w:r w:rsidR="00811BF5" w:rsidRPr="009D7A6F">
        <w:rPr>
          <w:rFonts w:ascii="Calibri" w:hAnsi="Calibri" w:cs="Calibri"/>
          <w:color w:val="000000" w:themeColor="text1"/>
        </w:rPr>
        <w:t>r</w:t>
      </w:r>
      <w:r w:rsidRPr="009D7A6F">
        <w:rPr>
          <w:rFonts w:ascii="Calibri" w:hAnsi="Calibri" w:cs="Calibri"/>
          <w:color w:val="000000" w:themeColor="text1"/>
        </w:rPr>
        <w:t xml:space="preserve">eports / Timesheets (services)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3</w:t>
      </w:r>
    </w:p>
    <w:p w14:paraId="4E7405ED" w14:textId="628DB1EA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Use Provisional / Final Acceptance Certificates (supplies/works) </w:t>
      </w:r>
      <w:r w:rsidR="00C8134E" w:rsidRPr="009D7A6F">
        <w:rPr>
          <w:rFonts w:ascii="Calibri" w:hAnsi="Calibri" w:cs="Calibri"/>
          <w:color w:val="000000" w:themeColor="text1"/>
        </w:rPr>
        <w:t>-</w:t>
      </w:r>
      <w:r w:rsidRPr="009D7A6F">
        <w:rPr>
          <w:rFonts w:ascii="Calibri" w:hAnsi="Calibri" w:cs="Calibri"/>
          <w:color w:val="000000" w:themeColor="text1"/>
        </w:rPr>
        <w:t xml:space="preserve"> Annex 3.7</w:t>
      </w:r>
    </w:p>
    <w:p w14:paraId="5414475D" w14:textId="77777777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Check quality of deliverables; reject ineligible costs for poor outputs</w:t>
      </w:r>
    </w:p>
    <w:p w14:paraId="290294B3" w14:textId="632EC7BC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Verify compliance with Communication and Visibility Rules</w:t>
      </w:r>
    </w:p>
    <w:p w14:paraId="630F6FAA" w14:textId="6673C2E4" w:rsidR="00184D5F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Apply VAT </w:t>
      </w:r>
      <w:r w:rsidR="00811BF5" w:rsidRPr="009D7A6F">
        <w:rPr>
          <w:rFonts w:ascii="Calibri" w:hAnsi="Calibri" w:cs="Calibri"/>
          <w:color w:val="000000" w:themeColor="text1"/>
        </w:rPr>
        <w:t>e</w:t>
      </w:r>
      <w:r w:rsidRPr="009D7A6F">
        <w:rPr>
          <w:rFonts w:ascii="Calibri" w:hAnsi="Calibri" w:cs="Calibri"/>
          <w:color w:val="000000" w:themeColor="text1"/>
        </w:rPr>
        <w:t xml:space="preserve">xemption </w:t>
      </w:r>
      <w:r w:rsidR="00811BF5" w:rsidRPr="009D7A6F">
        <w:rPr>
          <w:rFonts w:ascii="Calibri" w:hAnsi="Calibri" w:cs="Calibri"/>
          <w:color w:val="000000" w:themeColor="text1"/>
        </w:rPr>
        <w:t>p</w:t>
      </w:r>
      <w:r w:rsidRPr="009D7A6F">
        <w:rPr>
          <w:rFonts w:ascii="Calibri" w:hAnsi="Calibri" w:cs="Calibri"/>
          <w:color w:val="000000" w:themeColor="text1"/>
        </w:rPr>
        <w:t>rocedure</w:t>
      </w:r>
    </w:p>
    <w:p w14:paraId="32E21527" w14:textId="70EF56B7" w:rsidR="00EF51AB" w:rsidRPr="009D7A6F" w:rsidRDefault="00184D5F" w:rsidP="00C8134E">
      <w:pPr>
        <w:pStyle w:val="ListBullet"/>
        <w:numPr>
          <w:ilvl w:val="0"/>
          <w:numId w:val="0"/>
        </w:numPr>
        <w:ind w:left="142"/>
        <w:rPr>
          <w:rFonts w:ascii="Calibri" w:hAnsi="Calibri" w:cs="Calibri"/>
          <w:color w:val="000000" w:themeColor="text1"/>
        </w:rPr>
      </w:pPr>
      <w:r w:rsidRPr="009D7A6F">
        <w:rPr>
          <w:rFonts w:ascii="Segoe UI Symbol" w:hAnsi="Segoe UI Symbol" w:cs="Segoe UI Symbol"/>
          <w:color w:val="000000" w:themeColor="text1"/>
        </w:rPr>
        <w:t>☐</w:t>
      </w:r>
      <w:r w:rsidRPr="009D7A6F">
        <w:rPr>
          <w:rFonts w:ascii="Calibri" w:hAnsi="Calibri" w:cs="Calibri"/>
          <w:color w:val="000000" w:themeColor="text1"/>
        </w:rPr>
        <w:t xml:space="preserve"> Maintain complete </w:t>
      </w:r>
      <w:r w:rsidR="00811BF5" w:rsidRPr="009D7A6F">
        <w:rPr>
          <w:rFonts w:ascii="Calibri" w:hAnsi="Calibri" w:cs="Calibri"/>
          <w:color w:val="000000" w:themeColor="text1"/>
        </w:rPr>
        <w:t>a</w:t>
      </w:r>
      <w:r w:rsidRPr="009D7A6F">
        <w:rPr>
          <w:rFonts w:ascii="Calibri" w:hAnsi="Calibri" w:cs="Calibri"/>
          <w:color w:val="000000" w:themeColor="text1"/>
        </w:rPr>
        <w:t xml:space="preserve">udit </w:t>
      </w:r>
      <w:r w:rsidR="00811BF5" w:rsidRPr="009D7A6F">
        <w:rPr>
          <w:rFonts w:ascii="Calibri" w:hAnsi="Calibri" w:cs="Calibri"/>
          <w:color w:val="000000" w:themeColor="text1"/>
        </w:rPr>
        <w:t>t</w:t>
      </w:r>
      <w:r w:rsidRPr="009D7A6F">
        <w:rPr>
          <w:rFonts w:ascii="Calibri" w:hAnsi="Calibri" w:cs="Calibri"/>
          <w:color w:val="000000" w:themeColor="text1"/>
        </w:rPr>
        <w:t>rail – all records and communications archived</w:t>
      </w:r>
    </w:p>
    <w:sectPr w:rsidR="00EF51AB" w:rsidRPr="009D7A6F" w:rsidSect="00184D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7EF8" w14:textId="77777777" w:rsidR="00D94CD3" w:rsidRDefault="00D94CD3" w:rsidP="00184D5F">
      <w:pPr>
        <w:spacing w:after="0" w:line="240" w:lineRule="auto"/>
      </w:pPr>
      <w:r>
        <w:separator/>
      </w:r>
    </w:p>
  </w:endnote>
  <w:endnote w:type="continuationSeparator" w:id="0">
    <w:p w14:paraId="33A7B1BB" w14:textId="77777777" w:rsidR="00D94CD3" w:rsidRDefault="00D94CD3" w:rsidP="00184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52959345"/>
      <w:docPartObj>
        <w:docPartGallery w:val="Page Numbers (Bottom of Page)"/>
        <w:docPartUnique/>
      </w:docPartObj>
    </w:sdtPr>
    <w:sdtContent>
      <w:p w14:paraId="19A169BD" w14:textId="339612F0" w:rsidR="00184D5F" w:rsidRDefault="00184D5F" w:rsidP="00BA11D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C920A49" w14:textId="77777777" w:rsidR="00184D5F" w:rsidRDefault="00184D5F" w:rsidP="00184D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9116708"/>
      <w:docPartObj>
        <w:docPartGallery w:val="Page Numbers (Bottom of Page)"/>
        <w:docPartUnique/>
      </w:docPartObj>
    </w:sdtPr>
    <w:sdtContent>
      <w:p w14:paraId="6B7CB083" w14:textId="514C6A91" w:rsidR="00184D5F" w:rsidRDefault="00184D5F" w:rsidP="00BA11D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1C9717E7" w14:textId="0E6D6416" w:rsidR="00184D5F" w:rsidRDefault="009D7A6F" w:rsidP="00184D5F">
    <w:pPr>
      <w:pStyle w:val="Footer"/>
      <w:ind w:right="360"/>
    </w:pPr>
    <w:r>
      <w:t xml:space="preserve">Annex 5.6 Single Tender procedure: Step-by-step </w:t>
    </w:r>
    <w:r>
      <w:t>checklist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46123" w14:textId="77777777" w:rsidR="009D7A6F" w:rsidRDefault="009D7A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7F90" w14:textId="77777777" w:rsidR="00D94CD3" w:rsidRDefault="00D94CD3" w:rsidP="00184D5F">
      <w:pPr>
        <w:spacing w:after="0" w:line="240" w:lineRule="auto"/>
      </w:pPr>
      <w:r>
        <w:separator/>
      </w:r>
    </w:p>
  </w:footnote>
  <w:footnote w:type="continuationSeparator" w:id="0">
    <w:p w14:paraId="64E604D2" w14:textId="77777777" w:rsidR="00D94CD3" w:rsidRDefault="00D94CD3" w:rsidP="00184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B399" w14:textId="77777777" w:rsidR="009D7A6F" w:rsidRDefault="009D7A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9D1CA" w14:textId="77777777" w:rsidR="009D7A6F" w:rsidRDefault="009D7A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8DE6" w14:textId="77777777" w:rsidR="009D7A6F" w:rsidRDefault="009D7A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E16F0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6645393">
    <w:abstractNumId w:val="0"/>
  </w:num>
  <w:num w:numId="2" w16cid:durableId="22707280">
    <w:abstractNumId w:val="0"/>
  </w:num>
  <w:num w:numId="3" w16cid:durableId="657076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D5F"/>
    <w:rsid w:val="00014600"/>
    <w:rsid w:val="00124D8A"/>
    <w:rsid w:val="00184D5F"/>
    <w:rsid w:val="003D4998"/>
    <w:rsid w:val="004F712A"/>
    <w:rsid w:val="00746B10"/>
    <w:rsid w:val="00811BF5"/>
    <w:rsid w:val="00822D8B"/>
    <w:rsid w:val="009D7A6F"/>
    <w:rsid w:val="00A21DCD"/>
    <w:rsid w:val="00B86704"/>
    <w:rsid w:val="00C0696B"/>
    <w:rsid w:val="00C8134E"/>
    <w:rsid w:val="00D94CD3"/>
    <w:rsid w:val="00EF51AB"/>
    <w:rsid w:val="00FC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1C0FE94"/>
  <w15:chartTrackingRefBased/>
  <w15:docId w15:val="{47E6B20D-3A65-CA47-B7B1-B17C5EEE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4D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4D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D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D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D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D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D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D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D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D5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rsid w:val="00184D5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D5F"/>
    <w:rPr>
      <w:rFonts w:eastAsiaTheme="majorEastAsia" w:cstheme="majorBidi"/>
      <w:noProof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4D5F"/>
    <w:rPr>
      <w:rFonts w:eastAsiaTheme="majorEastAsia" w:cstheme="majorBidi"/>
      <w:i/>
      <w:iCs/>
      <w:noProof/>
      <w:color w:val="0F4761" w:themeColor="accent1" w:themeShade="BF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4D5F"/>
    <w:rPr>
      <w:rFonts w:eastAsiaTheme="majorEastAsia" w:cstheme="majorBidi"/>
      <w:noProof/>
      <w:color w:val="0F4761" w:themeColor="accent1" w:themeShade="BF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4D5F"/>
    <w:rPr>
      <w:rFonts w:eastAsiaTheme="majorEastAsia" w:cstheme="majorBidi"/>
      <w:i/>
      <w:iCs/>
      <w:noProof/>
      <w:color w:val="595959" w:themeColor="text1" w:themeTint="A6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4D5F"/>
    <w:rPr>
      <w:rFonts w:eastAsiaTheme="majorEastAsia" w:cstheme="majorBidi"/>
      <w:noProof/>
      <w:color w:val="595959" w:themeColor="text1" w:themeTint="A6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4D5F"/>
    <w:rPr>
      <w:rFonts w:eastAsiaTheme="majorEastAsia" w:cstheme="majorBidi"/>
      <w:i/>
      <w:iCs/>
      <w:noProof/>
      <w:color w:val="272727" w:themeColor="text1" w:themeTint="D8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4D5F"/>
    <w:rPr>
      <w:rFonts w:eastAsiaTheme="majorEastAsia" w:cstheme="majorBidi"/>
      <w:noProof/>
      <w:color w:val="272727" w:themeColor="text1" w:themeTint="D8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184D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4D5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D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4D5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184D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4D5F"/>
    <w:rPr>
      <w:i/>
      <w:iCs/>
      <w:noProof/>
      <w:color w:val="404040" w:themeColor="text1" w:themeTint="BF"/>
      <w:lang w:val="it-IT"/>
    </w:rPr>
  </w:style>
  <w:style w:type="paragraph" w:styleId="ListParagraph">
    <w:name w:val="List Paragraph"/>
    <w:basedOn w:val="Normal"/>
    <w:uiPriority w:val="34"/>
    <w:qFormat/>
    <w:rsid w:val="00184D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D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D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4D5F"/>
    <w:rPr>
      <w:i/>
      <w:iCs/>
      <w:noProof/>
      <w:color w:val="0F4761" w:themeColor="accent1" w:themeShade="BF"/>
      <w:lang w:val="it-IT"/>
    </w:rPr>
  </w:style>
  <w:style w:type="character" w:styleId="IntenseReference">
    <w:name w:val="Intense Reference"/>
    <w:basedOn w:val="DefaultParagraphFont"/>
    <w:uiPriority w:val="32"/>
    <w:qFormat/>
    <w:rsid w:val="00184D5F"/>
    <w:rPr>
      <w:b/>
      <w:bCs/>
      <w:smallCaps/>
      <w:color w:val="0F4761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rsid w:val="00184D5F"/>
    <w:pPr>
      <w:numPr>
        <w:numId w:val="1"/>
      </w:numPr>
      <w:spacing w:after="200" w:line="276" w:lineRule="auto"/>
      <w:contextualSpacing/>
    </w:pPr>
    <w:rPr>
      <w:rFonts w:eastAsiaTheme="minorEastAsia"/>
      <w:noProof w:val="0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4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D5F"/>
    <w:rPr>
      <w:noProof/>
      <w:lang w:val="it-IT"/>
    </w:rPr>
  </w:style>
  <w:style w:type="character" w:styleId="PageNumber">
    <w:name w:val="page number"/>
    <w:basedOn w:val="DefaultParagraphFont"/>
    <w:uiPriority w:val="99"/>
    <w:semiHidden/>
    <w:unhideWhenUsed/>
    <w:rsid w:val="00184D5F"/>
  </w:style>
  <w:style w:type="paragraph" w:styleId="Header">
    <w:name w:val="header"/>
    <w:basedOn w:val="Normal"/>
    <w:link w:val="HeaderChar"/>
    <w:uiPriority w:val="99"/>
    <w:unhideWhenUsed/>
    <w:rsid w:val="009D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A6F"/>
    <w:rPr>
      <w:noProof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Andelka Hajdek</dc:creator>
  <cp:keywords/>
  <dc:description/>
  <cp:lastModifiedBy>Andelka Hajdek</cp:lastModifiedBy>
  <cp:revision>5</cp:revision>
  <dcterms:created xsi:type="dcterms:W3CDTF">2025-11-04T07:19:00Z</dcterms:created>
  <dcterms:modified xsi:type="dcterms:W3CDTF">2025-11-26T13:55:00Z</dcterms:modified>
</cp:coreProperties>
</file>